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38" w:rsidRPr="00D35938" w:rsidRDefault="00D35938" w:rsidP="00D35938">
      <w:pPr>
        <w:rPr>
          <w:rFonts w:eastAsia="Calibri" w:cs="Arial"/>
          <w:b/>
          <w:sz w:val="22"/>
          <w:szCs w:val="22"/>
        </w:rPr>
      </w:pPr>
      <w:r w:rsidRPr="00D35938">
        <w:rPr>
          <w:rFonts w:eastAsia="Calibri" w:cs="Arial"/>
          <w:b/>
          <w:sz w:val="22"/>
          <w:szCs w:val="22"/>
        </w:rPr>
        <w:t>APPENDIX E - FSR SUMMARY: WASTE COLLECTION</w:t>
      </w:r>
    </w:p>
    <w:p w:rsidR="00D35938" w:rsidRPr="00D35938" w:rsidRDefault="00D35938" w:rsidP="00D35938">
      <w:pPr>
        <w:jc w:val="center"/>
        <w:rPr>
          <w:rFonts w:eastAsia="Calibri" w:cs="Arial"/>
          <w:b/>
          <w:sz w:val="22"/>
          <w:szCs w:val="22"/>
        </w:rPr>
      </w:pPr>
    </w:p>
    <w:p w:rsidR="00D35938" w:rsidRPr="00D35938" w:rsidRDefault="00D35938" w:rsidP="00D35938">
      <w:pPr>
        <w:rPr>
          <w:rFonts w:eastAsia="Calibri" w:cs="Arial"/>
          <w:b/>
          <w:sz w:val="22"/>
          <w:szCs w:val="22"/>
        </w:rPr>
      </w:pPr>
      <w:r w:rsidRPr="00D35938">
        <w:rPr>
          <w:rFonts w:eastAsia="Calibri" w:cs="Arial"/>
          <w:b/>
          <w:sz w:val="22"/>
          <w:szCs w:val="22"/>
        </w:rPr>
        <w:t>Performance and Value for Money</w:t>
      </w:r>
    </w:p>
    <w:p w:rsidR="00D35938" w:rsidRPr="00D35938" w:rsidRDefault="00D35938" w:rsidP="00D35938">
      <w:pPr>
        <w:jc w:val="center"/>
        <w:rPr>
          <w:rFonts w:eastAsia="Calibri" w:cs="Arial"/>
          <w:sz w:val="22"/>
          <w:szCs w:val="22"/>
        </w:rPr>
      </w:pPr>
    </w:p>
    <w:p w:rsidR="00D35938" w:rsidRPr="00D35938" w:rsidRDefault="00D35938" w:rsidP="00D35938">
      <w:pPr>
        <w:jc w:val="center"/>
        <w:rPr>
          <w:rFonts w:eastAsia="Calibri" w:cs="Arial"/>
          <w:sz w:val="22"/>
          <w:szCs w:val="22"/>
        </w:rPr>
      </w:pPr>
    </w:p>
    <w:p w:rsidR="00D35938" w:rsidRPr="00D35938" w:rsidRDefault="00D35938" w:rsidP="00D35938">
      <w:pPr>
        <w:numPr>
          <w:ilvl w:val="0"/>
          <w:numId w:val="8"/>
        </w:numPr>
        <w:contextualSpacing/>
        <w:rPr>
          <w:rFonts w:eastAsia="Calibri" w:cs="Arial"/>
          <w:b/>
          <w:sz w:val="22"/>
          <w:szCs w:val="22"/>
        </w:rPr>
      </w:pPr>
      <w:r w:rsidRPr="00D35938">
        <w:rPr>
          <w:rFonts w:eastAsia="Calibri" w:cs="Arial"/>
          <w:b/>
          <w:sz w:val="22"/>
          <w:szCs w:val="22"/>
        </w:rPr>
        <w:t>Introduction</w:t>
      </w:r>
    </w:p>
    <w:p w:rsidR="00D35938" w:rsidRPr="00D35938" w:rsidRDefault="00D35938" w:rsidP="00D35938">
      <w:pPr>
        <w:ind w:left="405"/>
        <w:contextualSpacing/>
        <w:rPr>
          <w:rFonts w:eastAsia="Calibri" w:cs="Arial"/>
          <w:b/>
          <w:sz w:val="22"/>
          <w:szCs w:val="22"/>
        </w:rPr>
      </w:pPr>
    </w:p>
    <w:p w:rsidR="00D35938" w:rsidRPr="00D35938" w:rsidRDefault="00D35938" w:rsidP="00D35938">
      <w:pPr>
        <w:rPr>
          <w:rFonts w:eastAsia="Calibri" w:cs="Arial"/>
          <w:sz w:val="22"/>
          <w:szCs w:val="22"/>
        </w:rPr>
      </w:pPr>
      <w:r w:rsidRPr="00D35938">
        <w:rPr>
          <w:rFonts w:eastAsia="Calibri" w:cs="Arial"/>
          <w:sz w:val="22"/>
          <w:szCs w:val="22"/>
        </w:rPr>
        <w:t xml:space="preserve">1.1In support of the current round of FSR’s the technical consultancy WYG were engaged in June 2016 to carry out a comprehensive performance and value for money review of our waste and recycling services. </w:t>
      </w:r>
    </w:p>
    <w:p w:rsidR="00D35938" w:rsidRPr="00D35938" w:rsidRDefault="00D35938" w:rsidP="00D35938">
      <w:pPr>
        <w:rPr>
          <w:rFonts w:eastAsia="Calibri" w:cs="Arial"/>
          <w:sz w:val="22"/>
          <w:szCs w:val="22"/>
        </w:rPr>
      </w:pPr>
    </w:p>
    <w:p w:rsidR="00D35938" w:rsidRPr="00D35938" w:rsidRDefault="00D35938" w:rsidP="00D35938">
      <w:pPr>
        <w:rPr>
          <w:rFonts w:eastAsia="Calibri" w:cs="Arial"/>
          <w:sz w:val="22"/>
          <w:szCs w:val="22"/>
        </w:rPr>
      </w:pPr>
      <w:r w:rsidRPr="00D35938">
        <w:rPr>
          <w:rFonts w:eastAsia="Calibri" w:cs="Arial"/>
          <w:sz w:val="22"/>
          <w:szCs w:val="22"/>
        </w:rPr>
        <w:t xml:space="preserve">1.2. This focused predominantly on our domestic service but also considered the impact and effectiveness of our Commercial Waste Services and the support provided from our Motor Transport Service.   </w:t>
      </w:r>
    </w:p>
    <w:p w:rsidR="00D35938" w:rsidRPr="00D35938" w:rsidRDefault="00D35938" w:rsidP="00D35938">
      <w:pPr>
        <w:rPr>
          <w:rFonts w:eastAsia="Calibri" w:cs="Arial"/>
          <w:sz w:val="22"/>
          <w:szCs w:val="22"/>
        </w:rPr>
      </w:pPr>
    </w:p>
    <w:p w:rsidR="00D35938" w:rsidRPr="00D35938" w:rsidRDefault="00D35938" w:rsidP="00D35938">
      <w:pPr>
        <w:rPr>
          <w:rFonts w:eastAsia="Calibri" w:cs="Arial"/>
          <w:sz w:val="22"/>
          <w:szCs w:val="22"/>
        </w:rPr>
      </w:pPr>
      <w:r w:rsidRPr="00D35938">
        <w:rPr>
          <w:rFonts w:eastAsia="Calibri" w:cs="Arial"/>
          <w:sz w:val="22"/>
          <w:szCs w:val="22"/>
        </w:rPr>
        <w:t xml:space="preserve">1.3 Other considerations were a comparison of the extent of our service provision and charging regimes compared to other councils </w:t>
      </w:r>
    </w:p>
    <w:p w:rsidR="00D35938" w:rsidRPr="00D35938" w:rsidRDefault="00D35938" w:rsidP="00D35938">
      <w:pPr>
        <w:rPr>
          <w:rFonts w:eastAsia="Calibri" w:cs="Arial"/>
          <w:sz w:val="22"/>
          <w:szCs w:val="22"/>
        </w:rPr>
      </w:pPr>
    </w:p>
    <w:p w:rsidR="00D35938" w:rsidRPr="00D35938" w:rsidRDefault="00D35938" w:rsidP="00D35938">
      <w:pPr>
        <w:rPr>
          <w:rFonts w:eastAsia="Calibri" w:cs="Arial"/>
          <w:sz w:val="22"/>
          <w:szCs w:val="22"/>
        </w:rPr>
      </w:pPr>
      <w:r w:rsidRPr="00D35938">
        <w:rPr>
          <w:rFonts w:eastAsia="Calibri" w:cs="Arial"/>
          <w:sz w:val="22"/>
          <w:szCs w:val="22"/>
        </w:rPr>
        <w:t xml:space="preserve">1.4 The final report was delivered on September 2016 an abridged version of their report is given below  </w:t>
      </w:r>
    </w:p>
    <w:p w:rsidR="00D35938" w:rsidRPr="00D35938" w:rsidRDefault="00D35938" w:rsidP="00D35938">
      <w:pPr>
        <w:rPr>
          <w:rFonts w:eastAsia="Calibri" w:cs="Arial"/>
          <w:sz w:val="22"/>
          <w:szCs w:val="22"/>
        </w:rPr>
      </w:pPr>
    </w:p>
    <w:p w:rsidR="00D35938" w:rsidRPr="00D35938" w:rsidRDefault="00D35938" w:rsidP="00D35938">
      <w:pPr>
        <w:rPr>
          <w:rFonts w:eastAsia="Calibri" w:cs="Arial"/>
          <w:b/>
          <w:sz w:val="22"/>
          <w:szCs w:val="22"/>
        </w:rPr>
      </w:pPr>
      <w:r w:rsidRPr="00D35938">
        <w:rPr>
          <w:rFonts w:eastAsia="Calibri" w:cs="Arial"/>
          <w:b/>
          <w:sz w:val="22"/>
          <w:szCs w:val="22"/>
        </w:rPr>
        <w:t>2.0 Findings</w:t>
      </w:r>
    </w:p>
    <w:p w:rsidR="00D35938" w:rsidRPr="00D35938" w:rsidRDefault="00D35938" w:rsidP="00D35938">
      <w:pPr>
        <w:rPr>
          <w:rFonts w:eastAsia="Calibri" w:cs="Arial"/>
          <w:b/>
          <w:sz w:val="22"/>
          <w:szCs w:val="22"/>
        </w:rPr>
      </w:pPr>
    </w:p>
    <w:p w:rsidR="00D35938" w:rsidRPr="00D35938" w:rsidRDefault="00D35938" w:rsidP="00D35938">
      <w:pPr>
        <w:rPr>
          <w:rFonts w:eastAsia="Calibri" w:cs="Arial"/>
          <w:b/>
          <w:sz w:val="22"/>
          <w:szCs w:val="22"/>
        </w:rPr>
      </w:pPr>
      <w:r w:rsidRPr="00D35938">
        <w:rPr>
          <w:rFonts w:eastAsia="Calibri" w:cs="Arial"/>
          <w:b/>
          <w:sz w:val="22"/>
          <w:szCs w:val="22"/>
        </w:rPr>
        <w:t>2.1 Performance and Cost</w:t>
      </w:r>
    </w:p>
    <w:p w:rsidR="00D35938" w:rsidRPr="00D35938" w:rsidRDefault="00D35938" w:rsidP="00D35938">
      <w:pPr>
        <w:rPr>
          <w:rFonts w:eastAsia="Calibri" w:cs="Arial"/>
          <w:sz w:val="22"/>
          <w:szCs w:val="22"/>
        </w:rPr>
      </w:pPr>
    </w:p>
    <w:p w:rsidR="00D35938" w:rsidRPr="00D35938" w:rsidRDefault="00D35938" w:rsidP="00D35938">
      <w:pPr>
        <w:rPr>
          <w:rFonts w:eastAsia="Calibri" w:cs="Arial"/>
          <w:sz w:val="22"/>
          <w:szCs w:val="22"/>
        </w:rPr>
      </w:pPr>
      <w:r w:rsidRPr="00D35938">
        <w:rPr>
          <w:rFonts w:eastAsia="Calibri" w:cs="Arial"/>
          <w:sz w:val="22"/>
          <w:szCs w:val="22"/>
        </w:rPr>
        <w:t xml:space="preserve">2.11 The Council’s waste &amp; recycling performance is very high. For collection of dry </w:t>
      </w:r>
      <w:proofErr w:type="spellStart"/>
      <w:r w:rsidRPr="00D35938">
        <w:rPr>
          <w:rFonts w:eastAsia="Calibri" w:cs="Arial"/>
          <w:sz w:val="22"/>
          <w:szCs w:val="22"/>
        </w:rPr>
        <w:t>recyclate</w:t>
      </w:r>
      <w:proofErr w:type="spellEnd"/>
      <w:r w:rsidRPr="00D35938">
        <w:rPr>
          <w:rFonts w:eastAsia="Calibri" w:cs="Arial"/>
          <w:sz w:val="22"/>
          <w:szCs w:val="22"/>
        </w:rPr>
        <w:t xml:space="preserve"> we are 2</w:t>
      </w:r>
      <w:r w:rsidRPr="00D35938">
        <w:rPr>
          <w:rFonts w:eastAsia="Calibri" w:cs="Arial"/>
          <w:sz w:val="22"/>
          <w:szCs w:val="22"/>
          <w:vertAlign w:val="superscript"/>
        </w:rPr>
        <w:t>nd</w:t>
      </w:r>
      <w:r w:rsidRPr="00D35938">
        <w:rPr>
          <w:rFonts w:eastAsia="Calibri" w:cs="Arial"/>
          <w:sz w:val="22"/>
          <w:szCs w:val="22"/>
        </w:rPr>
        <w:t xml:space="preserve"> in benchmark group and 4</w:t>
      </w:r>
      <w:r w:rsidRPr="00D35938">
        <w:rPr>
          <w:rFonts w:eastAsia="Calibri" w:cs="Arial"/>
          <w:sz w:val="22"/>
          <w:szCs w:val="22"/>
          <w:vertAlign w:val="superscript"/>
        </w:rPr>
        <w:t>th</w:t>
      </w:r>
      <w:r w:rsidRPr="00D35938">
        <w:rPr>
          <w:rFonts w:eastAsia="Calibri" w:cs="Arial"/>
          <w:sz w:val="22"/>
          <w:szCs w:val="22"/>
        </w:rPr>
        <w:t xml:space="preserve"> best in group for minimisation of waste</w:t>
      </w:r>
    </w:p>
    <w:p w:rsidR="00D35938" w:rsidRPr="00D35938" w:rsidRDefault="00D35938" w:rsidP="00D35938">
      <w:pPr>
        <w:rPr>
          <w:rFonts w:eastAsia="Calibri" w:cs="Arial"/>
          <w:sz w:val="22"/>
          <w:szCs w:val="22"/>
        </w:rPr>
      </w:pPr>
    </w:p>
    <w:p w:rsidR="00D35938" w:rsidRPr="00D35938" w:rsidRDefault="00D35938" w:rsidP="00D35938">
      <w:pPr>
        <w:rPr>
          <w:rFonts w:eastAsia="Calibri" w:cs="Arial"/>
          <w:sz w:val="22"/>
          <w:szCs w:val="22"/>
        </w:rPr>
      </w:pPr>
      <w:r w:rsidRPr="00D35938">
        <w:rPr>
          <w:rFonts w:eastAsia="Calibri" w:cs="Arial"/>
          <w:color w:val="333333"/>
          <w:sz w:val="22"/>
          <w:szCs w:val="22"/>
        </w:rPr>
        <w:t>2.12 Our collection costs of £41.25 per household (2015/16) were the best in the WYG database</w:t>
      </w:r>
    </w:p>
    <w:p w:rsidR="00D35938" w:rsidRPr="00D35938" w:rsidRDefault="00D35938" w:rsidP="00D35938">
      <w:pPr>
        <w:ind w:left="720"/>
        <w:contextualSpacing/>
        <w:rPr>
          <w:rFonts w:eastAsia="Calibri" w:cs="Arial"/>
          <w:color w:val="333333"/>
          <w:sz w:val="22"/>
          <w:szCs w:val="22"/>
        </w:rPr>
      </w:pPr>
    </w:p>
    <w:p w:rsidR="00D35938" w:rsidRPr="00D35938" w:rsidRDefault="00D35938" w:rsidP="00D35938">
      <w:pPr>
        <w:ind w:left="720"/>
        <w:contextualSpacing/>
        <w:rPr>
          <w:rFonts w:eastAsia="Calibri" w:cs="Arial"/>
          <w:color w:val="333333"/>
          <w:sz w:val="22"/>
          <w:szCs w:val="22"/>
        </w:rPr>
      </w:pPr>
      <w:r w:rsidRPr="00D35938">
        <w:rPr>
          <w:rFonts w:eastAsia="Calibri" w:cs="Arial"/>
          <w:color w:val="333333"/>
          <w:sz w:val="22"/>
          <w:szCs w:val="22"/>
        </w:rPr>
        <w:t xml:space="preserve">The </w:t>
      </w:r>
      <w:proofErr w:type="gramStart"/>
      <w:r w:rsidRPr="00D35938">
        <w:rPr>
          <w:rFonts w:eastAsia="Calibri" w:cs="Arial"/>
          <w:color w:val="333333"/>
          <w:sz w:val="22"/>
          <w:szCs w:val="22"/>
        </w:rPr>
        <w:t>Council  is</w:t>
      </w:r>
      <w:proofErr w:type="gramEnd"/>
      <w:r w:rsidRPr="00D35938">
        <w:rPr>
          <w:rFonts w:eastAsia="Calibri" w:cs="Arial"/>
          <w:color w:val="333333"/>
          <w:sz w:val="22"/>
          <w:szCs w:val="22"/>
        </w:rPr>
        <w:t xml:space="preserve"> a “</w:t>
      </w:r>
      <w:r w:rsidRPr="00D35938">
        <w:rPr>
          <w:rFonts w:eastAsia="Calibri" w:cs="Arial"/>
          <w:i/>
          <w:color w:val="333333"/>
          <w:sz w:val="22"/>
          <w:szCs w:val="22"/>
        </w:rPr>
        <w:t>low cost, high performer</w:t>
      </w:r>
      <w:r w:rsidRPr="00D35938">
        <w:rPr>
          <w:rFonts w:eastAsia="Calibri" w:cs="Arial"/>
          <w:color w:val="333333"/>
          <w:sz w:val="22"/>
          <w:szCs w:val="22"/>
        </w:rPr>
        <w:t>”</w:t>
      </w:r>
    </w:p>
    <w:p w:rsidR="00D35938" w:rsidRPr="00D35938" w:rsidRDefault="00D35938" w:rsidP="00D35938">
      <w:pPr>
        <w:rPr>
          <w:rFonts w:eastAsia="Calibri" w:cs="Arial"/>
          <w:sz w:val="22"/>
          <w:szCs w:val="22"/>
        </w:rPr>
      </w:pPr>
    </w:p>
    <w:p w:rsidR="00D35938" w:rsidRPr="00D35938" w:rsidRDefault="00D35938" w:rsidP="00D35938">
      <w:pPr>
        <w:rPr>
          <w:rFonts w:eastAsia="Calibri" w:cs="Arial"/>
          <w:sz w:val="22"/>
          <w:szCs w:val="22"/>
        </w:rPr>
      </w:pPr>
    </w:p>
    <w:p w:rsidR="00D35938" w:rsidRPr="00D35938" w:rsidRDefault="00D35938" w:rsidP="00D35938">
      <w:pPr>
        <w:rPr>
          <w:rFonts w:eastAsia="Calibri" w:cs="Arial"/>
          <w:sz w:val="22"/>
          <w:szCs w:val="22"/>
        </w:rPr>
      </w:pPr>
      <w:r w:rsidRPr="00D35938">
        <w:rPr>
          <w:rFonts w:eastAsia="Calibri" w:cs="Arial"/>
          <w:sz w:val="22"/>
          <w:szCs w:val="22"/>
        </w:rPr>
        <w:t xml:space="preserve">2.13 We are in the top 10% of </w:t>
      </w:r>
      <w:r w:rsidRPr="00D35938">
        <w:rPr>
          <w:rFonts w:eastAsia="Calibri" w:cs="Arial"/>
          <w:b/>
          <w:sz w:val="22"/>
          <w:szCs w:val="22"/>
        </w:rPr>
        <w:t xml:space="preserve">all </w:t>
      </w:r>
      <w:r w:rsidRPr="00D35938">
        <w:rPr>
          <w:rFonts w:eastAsia="Calibri" w:cs="Arial"/>
          <w:sz w:val="22"/>
          <w:szCs w:val="22"/>
        </w:rPr>
        <w:t>English authorities for recycling and reuse and WYG commented that this was</w:t>
      </w:r>
    </w:p>
    <w:p w:rsidR="00D35938" w:rsidRPr="00D35938" w:rsidRDefault="00D35938" w:rsidP="00D35938">
      <w:pPr>
        <w:rPr>
          <w:rFonts w:eastAsia="Calibri" w:cs="Arial"/>
          <w:sz w:val="22"/>
          <w:szCs w:val="22"/>
        </w:rPr>
      </w:pPr>
    </w:p>
    <w:p w:rsidR="00D35938" w:rsidRPr="00D35938" w:rsidRDefault="00D35938" w:rsidP="00D35938">
      <w:pPr>
        <w:ind w:left="720"/>
        <w:contextualSpacing/>
        <w:rPr>
          <w:rFonts w:eastAsia="Calibri" w:cs="Arial"/>
          <w:sz w:val="22"/>
          <w:szCs w:val="22"/>
        </w:rPr>
      </w:pPr>
      <w:r w:rsidRPr="00D35938">
        <w:rPr>
          <w:rFonts w:eastAsia="Calibri" w:cs="Arial"/>
          <w:i/>
          <w:sz w:val="22"/>
          <w:szCs w:val="22"/>
        </w:rPr>
        <w:t>“….quite remarkable performance for an urban authority</w:t>
      </w:r>
      <w:r w:rsidRPr="00D35938">
        <w:rPr>
          <w:rFonts w:eastAsia="Calibri" w:cs="Arial"/>
          <w:sz w:val="22"/>
          <w:szCs w:val="22"/>
        </w:rPr>
        <w:t>”</w:t>
      </w:r>
    </w:p>
    <w:p w:rsidR="00D35938" w:rsidRPr="00D35938" w:rsidRDefault="00D35938" w:rsidP="00D35938">
      <w:pPr>
        <w:ind w:left="720"/>
        <w:contextualSpacing/>
        <w:rPr>
          <w:rFonts w:eastAsia="Calibri" w:cs="Arial"/>
          <w:sz w:val="22"/>
          <w:szCs w:val="22"/>
        </w:rPr>
      </w:pPr>
    </w:p>
    <w:p w:rsidR="00D35938" w:rsidRPr="00D35938" w:rsidRDefault="00D35938" w:rsidP="00D35938">
      <w:pPr>
        <w:contextualSpacing/>
        <w:rPr>
          <w:rFonts w:eastAsia="Calibri" w:cs="Arial"/>
          <w:b/>
          <w:sz w:val="22"/>
          <w:szCs w:val="22"/>
        </w:rPr>
      </w:pPr>
      <w:r w:rsidRPr="00D35938">
        <w:rPr>
          <w:rFonts w:eastAsia="Calibri" w:cs="Arial"/>
          <w:b/>
          <w:sz w:val="22"/>
          <w:szCs w:val="22"/>
        </w:rPr>
        <w:t>2.2 Options for Reducing Costs</w:t>
      </w:r>
    </w:p>
    <w:p w:rsidR="00D35938" w:rsidRPr="00D35938" w:rsidRDefault="00D35938" w:rsidP="00D35938">
      <w:pPr>
        <w:contextualSpacing/>
        <w:rPr>
          <w:rFonts w:eastAsia="Calibri" w:cs="Arial"/>
          <w:sz w:val="22"/>
          <w:szCs w:val="22"/>
        </w:rPr>
      </w:pPr>
    </w:p>
    <w:p w:rsidR="00D35938" w:rsidRPr="00D35938" w:rsidRDefault="00D35938" w:rsidP="00D35938">
      <w:pPr>
        <w:contextualSpacing/>
        <w:rPr>
          <w:rFonts w:eastAsia="Calibri" w:cs="Arial"/>
          <w:sz w:val="22"/>
          <w:szCs w:val="22"/>
        </w:rPr>
      </w:pPr>
      <w:r w:rsidRPr="00D35938">
        <w:rPr>
          <w:rFonts w:eastAsia="Calibri" w:cs="Arial"/>
          <w:sz w:val="22"/>
          <w:szCs w:val="22"/>
        </w:rPr>
        <w:t>2.21 Given that the Council is already a low cost operation, options for reducing costs are limited as might be expected. Expanding the charging regime for bulky items and a review of garden waste charges were considered as part of the annual budget round and as a result some small increases were introduced on the latter.</w:t>
      </w:r>
    </w:p>
    <w:p w:rsidR="00D35938" w:rsidRPr="00D35938" w:rsidRDefault="00D35938" w:rsidP="00D35938">
      <w:pPr>
        <w:contextualSpacing/>
        <w:rPr>
          <w:rFonts w:eastAsia="Calibri" w:cs="Arial"/>
          <w:b/>
          <w:sz w:val="22"/>
          <w:szCs w:val="22"/>
        </w:rPr>
      </w:pPr>
    </w:p>
    <w:p w:rsidR="00D35938" w:rsidRPr="00D35938" w:rsidRDefault="00D35938" w:rsidP="00D35938">
      <w:pPr>
        <w:contextualSpacing/>
        <w:rPr>
          <w:rFonts w:eastAsia="Calibri" w:cs="Arial"/>
          <w:sz w:val="22"/>
          <w:szCs w:val="22"/>
        </w:rPr>
      </w:pPr>
      <w:r w:rsidRPr="00D35938">
        <w:rPr>
          <w:rFonts w:eastAsia="Calibri" w:cs="Arial"/>
          <w:sz w:val="22"/>
          <w:szCs w:val="22"/>
        </w:rPr>
        <w:t xml:space="preserve">2.22 As we know establishing our own Waste Transfer Station (WTS) inside the ring road would potentially allow a significant improvement in the contamination rate of </w:t>
      </w:r>
      <w:proofErr w:type="spellStart"/>
      <w:r w:rsidRPr="00D35938">
        <w:rPr>
          <w:rFonts w:eastAsia="Calibri" w:cs="Arial"/>
          <w:sz w:val="22"/>
          <w:szCs w:val="22"/>
        </w:rPr>
        <w:t>recyclate</w:t>
      </w:r>
      <w:proofErr w:type="spellEnd"/>
      <w:r w:rsidRPr="00D35938">
        <w:rPr>
          <w:rFonts w:eastAsia="Calibri" w:cs="Arial"/>
          <w:sz w:val="22"/>
          <w:szCs w:val="22"/>
        </w:rPr>
        <w:t xml:space="preserve">, potentially from 8% down to 2%. This would reduce charges for our </w:t>
      </w:r>
      <w:proofErr w:type="spellStart"/>
      <w:r w:rsidRPr="00D35938">
        <w:rPr>
          <w:rFonts w:eastAsia="Calibri" w:cs="Arial"/>
          <w:sz w:val="22"/>
          <w:szCs w:val="22"/>
        </w:rPr>
        <w:t>recyclate</w:t>
      </w:r>
      <w:proofErr w:type="spellEnd"/>
      <w:r w:rsidRPr="00D35938">
        <w:rPr>
          <w:rFonts w:eastAsia="Calibri" w:cs="Arial"/>
          <w:sz w:val="22"/>
          <w:szCs w:val="22"/>
        </w:rPr>
        <w:t xml:space="preserve"> disposal and reduce vulnerability to third party price increases.</w:t>
      </w:r>
    </w:p>
    <w:p w:rsidR="00D35938" w:rsidRPr="00D35938" w:rsidRDefault="00D35938" w:rsidP="00D35938">
      <w:pPr>
        <w:contextualSpacing/>
        <w:rPr>
          <w:rFonts w:eastAsia="Calibri" w:cs="Arial"/>
          <w:sz w:val="22"/>
          <w:szCs w:val="22"/>
        </w:rPr>
      </w:pPr>
    </w:p>
    <w:p w:rsidR="00D35938" w:rsidRPr="00D35938" w:rsidRDefault="00D35938" w:rsidP="00D35938">
      <w:pPr>
        <w:contextualSpacing/>
        <w:rPr>
          <w:rFonts w:eastAsia="Calibri" w:cs="Arial"/>
          <w:sz w:val="22"/>
          <w:szCs w:val="22"/>
        </w:rPr>
      </w:pPr>
      <w:r w:rsidRPr="00D35938">
        <w:rPr>
          <w:rFonts w:eastAsia="Calibri" w:cs="Arial"/>
          <w:sz w:val="22"/>
          <w:szCs w:val="22"/>
        </w:rPr>
        <w:t xml:space="preserve">2.25 Reducing the frequency of collections would yield little financial benefit with total tonnages collected remaining similar, with residual collection reductions being offset by collection increases in food. Currently few </w:t>
      </w:r>
      <w:proofErr w:type="gramStart"/>
      <w:r w:rsidRPr="00D35938">
        <w:rPr>
          <w:rFonts w:eastAsia="Calibri" w:cs="Arial"/>
          <w:sz w:val="22"/>
          <w:szCs w:val="22"/>
        </w:rPr>
        <w:t>councils</w:t>
      </w:r>
      <w:proofErr w:type="gramEnd"/>
      <w:r w:rsidRPr="00D35938">
        <w:rPr>
          <w:rFonts w:eastAsia="Calibri" w:cs="Arial"/>
          <w:sz w:val="22"/>
          <w:szCs w:val="22"/>
        </w:rPr>
        <w:t xml:space="preserve"> have gone down this route and where it has been done there has been adverse public reaction.</w:t>
      </w:r>
    </w:p>
    <w:p w:rsidR="00D35938" w:rsidRPr="00D35938" w:rsidRDefault="00D35938" w:rsidP="00D35938">
      <w:pPr>
        <w:contextualSpacing/>
        <w:rPr>
          <w:rFonts w:eastAsia="Calibri" w:cs="Arial"/>
          <w:sz w:val="22"/>
          <w:szCs w:val="22"/>
        </w:rPr>
      </w:pPr>
    </w:p>
    <w:p w:rsidR="00D35938" w:rsidRPr="00D35938" w:rsidRDefault="00D35938" w:rsidP="00D35938">
      <w:pPr>
        <w:contextualSpacing/>
        <w:rPr>
          <w:rFonts w:eastAsia="Calibri" w:cs="Arial"/>
          <w:b/>
          <w:sz w:val="22"/>
          <w:szCs w:val="22"/>
        </w:rPr>
      </w:pPr>
      <w:r w:rsidRPr="00D35938">
        <w:rPr>
          <w:rFonts w:eastAsia="Calibri" w:cs="Arial"/>
          <w:b/>
          <w:sz w:val="22"/>
          <w:szCs w:val="22"/>
        </w:rPr>
        <w:t>2.3 Other Benchmarks</w:t>
      </w:r>
    </w:p>
    <w:p w:rsidR="00D35938" w:rsidRPr="00D35938" w:rsidRDefault="00D35938" w:rsidP="00D35938">
      <w:pPr>
        <w:contextualSpacing/>
        <w:rPr>
          <w:rFonts w:eastAsia="Calibri" w:cs="Arial"/>
          <w:b/>
          <w:sz w:val="22"/>
          <w:szCs w:val="22"/>
        </w:rPr>
      </w:pPr>
    </w:p>
    <w:p w:rsidR="00D35938" w:rsidRPr="00D35938" w:rsidRDefault="00D35938" w:rsidP="00D35938">
      <w:pPr>
        <w:contextualSpacing/>
        <w:rPr>
          <w:rFonts w:eastAsia="Calibri" w:cs="Arial"/>
          <w:sz w:val="22"/>
          <w:szCs w:val="22"/>
        </w:rPr>
      </w:pPr>
      <w:r w:rsidRPr="00D35938">
        <w:rPr>
          <w:rFonts w:eastAsia="Calibri" w:cs="Arial"/>
          <w:sz w:val="22"/>
          <w:szCs w:val="22"/>
        </w:rPr>
        <w:t>2.31 The motor transport service is a high performer and offers value for money in support of the waste service, other key costs such as container provision benchmark in line with expectations.</w:t>
      </w:r>
    </w:p>
    <w:p w:rsidR="00D35938" w:rsidRPr="00D35938" w:rsidRDefault="00D35938" w:rsidP="00D35938">
      <w:pPr>
        <w:contextualSpacing/>
        <w:rPr>
          <w:rFonts w:eastAsia="Calibri" w:cs="Arial"/>
          <w:sz w:val="22"/>
          <w:szCs w:val="22"/>
        </w:rPr>
      </w:pPr>
    </w:p>
    <w:p w:rsidR="00D35938" w:rsidRPr="00D35938" w:rsidRDefault="00D35938" w:rsidP="00D35938">
      <w:pPr>
        <w:contextualSpacing/>
        <w:rPr>
          <w:rFonts w:eastAsia="Calibri" w:cs="Arial"/>
          <w:sz w:val="22"/>
          <w:szCs w:val="22"/>
        </w:rPr>
      </w:pPr>
      <w:r w:rsidRPr="00D35938">
        <w:rPr>
          <w:rFonts w:eastAsia="Calibri" w:cs="Arial"/>
          <w:sz w:val="22"/>
          <w:szCs w:val="22"/>
        </w:rPr>
        <w:t xml:space="preserve">2.32 Absenteeism is well managed, the target of less than 8 days is higher than the “best practice” 6 days but reflects the reality of some ailments effecting frontline workers more than office workers.  </w:t>
      </w:r>
    </w:p>
    <w:p w:rsidR="00D35938" w:rsidRPr="00D35938" w:rsidRDefault="00D35938" w:rsidP="00D35938">
      <w:pPr>
        <w:contextualSpacing/>
        <w:rPr>
          <w:rFonts w:eastAsia="Calibri" w:cs="Arial"/>
          <w:sz w:val="22"/>
          <w:szCs w:val="22"/>
        </w:rPr>
      </w:pPr>
    </w:p>
    <w:p w:rsidR="00D35938" w:rsidRPr="00D35938" w:rsidRDefault="00D35938" w:rsidP="00D35938">
      <w:pPr>
        <w:contextualSpacing/>
        <w:rPr>
          <w:rFonts w:eastAsia="Calibri" w:cs="Arial"/>
          <w:sz w:val="22"/>
          <w:szCs w:val="22"/>
        </w:rPr>
      </w:pPr>
      <w:r w:rsidRPr="00D35938">
        <w:rPr>
          <w:rFonts w:eastAsia="Calibri" w:cs="Arial"/>
          <w:sz w:val="22"/>
          <w:szCs w:val="22"/>
        </w:rPr>
        <w:t>2.33 Currently there is no opportunity to reduce costs from spitting out paper and or glass from the current DMR service provision.</w:t>
      </w:r>
    </w:p>
    <w:p w:rsidR="00D35938" w:rsidRPr="00D35938" w:rsidRDefault="00D35938" w:rsidP="00D35938">
      <w:pPr>
        <w:contextualSpacing/>
        <w:rPr>
          <w:rFonts w:eastAsia="Calibri" w:cs="Arial"/>
          <w:sz w:val="22"/>
          <w:szCs w:val="22"/>
        </w:rPr>
      </w:pPr>
    </w:p>
    <w:p w:rsidR="00D35938" w:rsidRPr="00D35938" w:rsidRDefault="00D35938" w:rsidP="00D35938">
      <w:pPr>
        <w:contextualSpacing/>
        <w:rPr>
          <w:rFonts w:eastAsia="Calibri" w:cs="Arial"/>
          <w:sz w:val="22"/>
          <w:szCs w:val="22"/>
        </w:rPr>
      </w:pPr>
      <w:r w:rsidRPr="00D35938">
        <w:rPr>
          <w:rFonts w:eastAsia="Calibri" w:cs="Arial"/>
          <w:sz w:val="22"/>
          <w:szCs w:val="22"/>
        </w:rPr>
        <w:t xml:space="preserve">2.34 The commercial waste service provides excellent support to the domestic </w:t>
      </w:r>
      <w:proofErr w:type="gramStart"/>
      <w:r w:rsidRPr="00D35938">
        <w:rPr>
          <w:rFonts w:eastAsia="Calibri" w:cs="Arial"/>
          <w:sz w:val="22"/>
          <w:szCs w:val="22"/>
        </w:rPr>
        <w:t>service,</w:t>
      </w:r>
      <w:proofErr w:type="gramEnd"/>
      <w:r w:rsidRPr="00D35938">
        <w:rPr>
          <w:rFonts w:eastAsia="Calibri" w:cs="Arial"/>
          <w:sz w:val="22"/>
          <w:szCs w:val="22"/>
        </w:rPr>
        <w:t xml:space="preserve"> turnover is exceptional for a council of our size (bigger than many London boroughs) and has “excellent productivity”</w:t>
      </w:r>
    </w:p>
    <w:p w:rsidR="00D35938" w:rsidRPr="00D35938" w:rsidRDefault="00D35938" w:rsidP="00D35938">
      <w:pPr>
        <w:contextualSpacing/>
        <w:rPr>
          <w:rFonts w:eastAsia="Calibri" w:cs="Arial"/>
          <w:sz w:val="22"/>
          <w:szCs w:val="22"/>
        </w:rPr>
      </w:pPr>
    </w:p>
    <w:p w:rsidR="00D35938" w:rsidRPr="00D35938" w:rsidRDefault="00D35938" w:rsidP="00D35938">
      <w:pPr>
        <w:rPr>
          <w:rFonts w:eastAsia="Calibri" w:cs="Arial"/>
          <w:sz w:val="22"/>
          <w:szCs w:val="22"/>
        </w:rPr>
      </w:pPr>
    </w:p>
    <w:p w:rsidR="00D35938" w:rsidRPr="00D35938" w:rsidRDefault="00D35938" w:rsidP="00D35938">
      <w:pPr>
        <w:rPr>
          <w:rFonts w:eastAsia="Calibri" w:cs="Arial"/>
          <w:b/>
          <w:sz w:val="22"/>
          <w:szCs w:val="22"/>
        </w:rPr>
      </w:pPr>
      <w:r w:rsidRPr="00D35938">
        <w:rPr>
          <w:rFonts w:eastAsia="Calibri" w:cs="Arial"/>
          <w:b/>
          <w:sz w:val="22"/>
          <w:szCs w:val="22"/>
        </w:rPr>
        <w:t>2.4 Other Comments</w:t>
      </w:r>
    </w:p>
    <w:p w:rsidR="00D35938" w:rsidRPr="00D35938" w:rsidRDefault="00D35938" w:rsidP="00D35938">
      <w:pPr>
        <w:rPr>
          <w:rFonts w:eastAsia="Calibri" w:cs="Arial"/>
          <w:sz w:val="22"/>
          <w:szCs w:val="22"/>
        </w:rPr>
      </w:pPr>
    </w:p>
    <w:p w:rsidR="00D35938" w:rsidRPr="00D35938" w:rsidRDefault="00D35938" w:rsidP="00D35938">
      <w:pPr>
        <w:rPr>
          <w:rFonts w:eastAsia="Calibri" w:cs="Arial"/>
          <w:color w:val="333333"/>
          <w:sz w:val="22"/>
          <w:szCs w:val="22"/>
        </w:rPr>
      </w:pPr>
      <w:r w:rsidRPr="00D35938">
        <w:rPr>
          <w:rFonts w:eastAsia="Calibri" w:cs="Arial"/>
          <w:sz w:val="22"/>
          <w:szCs w:val="22"/>
        </w:rPr>
        <w:t>2.41 OCC is fully compliant with TEEP (</w:t>
      </w:r>
      <w:r w:rsidRPr="00D35938">
        <w:rPr>
          <w:rFonts w:eastAsia="Calibri" w:cs="Arial"/>
          <w:color w:val="333333"/>
          <w:sz w:val="22"/>
          <w:szCs w:val="22"/>
        </w:rPr>
        <w:t>Technically, Environmentally and Economically Practicable’)</w:t>
      </w:r>
    </w:p>
    <w:p w:rsidR="00D35938" w:rsidRPr="00D35938" w:rsidRDefault="00D35938" w:rsidP="00D35938">
      <w:pPr>
        <w:rPr>
          <w:rFonts w:eastAsia="Calibri" w:cs="Arial"/>
          <w:sz w:val="22"/>
          <w:szCs w:val="22"/>
        </w:rPr>
      </w:pPr>
    </w:p>
    <w:p w:rsidR="00D35938" w:rsidRPr="00D35938" w:rsidRDefault="00D35938" w:rsidP="00D35938">
      <w:pPr>
        <w:rPr>
          <w:rFonts w:eastAsia="Calibri" w:cs="Arial"/>
          <w:b/>
          <w:sz w:val="22"/>
          <w:szCs w:val="22"/>
        </w:rPr>
      </w:pPr>
      <w:r w:rsidRPr="00D35938">
        <w:rPr>
          <w:rFonts w:eastAsia="Calibri" w:cs="Arial"/>
          <w:b/>
          <w:sz w:val="22"/>
          <w:szCs w:val="22"/>
        </w:rPr>
        <w:t>3.0 Summary</w:t>
      </w:r>
    </w:p>
    <w:p w:rsidR="00D35938" w:rsidRPr="00D35938" w:rsidRDefault="00D35938" w:rsidP="00D35938">
      <w:pPr>
        <w:rPr>
          <w:rFonts w:eastAsia="Calibri" w:cs="Arial"/>
          <w:sz w:val="22"/>
          <w:szCs w:val="22"/>
        </w:rPr>
      </w:pPr>
    </w:p>
    <w:p w:rsidR="00D35938" w:rsidRPr="00D35938" w:rsidRDefault="00D35938" w:rsidP="00D35938">
      <w:pPr>
        <w:rPr>
          <w:rFonts w:eastAsia="Calibri" w:cs="Arial"/>
          <w:sz w:val="22"/>
          <w:szCs w:val="22"/>
        </w:rPr>
      </w:pPr>
      <w:r w:rsidRPr="00D35938">
        <w:rPr>
          <w:rFonts w:eastAsia="Calibri" w:cs="Arial"/>
          <w:sz w:val="22"/>
          <w:szCs w:val="22"/>
        </w:rPr>
        <w:t>3.1 OCC’s has an exceptionally low cost and high performing domestic waste and recycling service. Because of this opportunities for operational cost reductions are very limited and financial improvement opportunities come from varying the way we charge for discretionary services.</w:t>
      </w:r>
    </w:p>
    <w:p w:rsidR="00D35938" w:rsidRPr="00D35938" w:rsidRDefault="00D35938" w:rsidP="00D35938">
      <w:pPr>
        <w:rPr>
          <w:rFonts w:eastAsia="Calibri" w:cs="Arial"/>
          <w:sz w:val="22"/>
          <w:szCs w:val="22"/>
        </w:rPr>
      </w:pPr>
    </w:p>
    <w:p w:rsidR="00D35938" w:rsidRPr="00D35938" w:rsidRDefault="00D35938" w:rsidP="00D35938">
      <w:pPr>
        <w:rPr>
          <w:rFonts w:eastAsia="Calibri" w:cs="Arial"/>
          <w:sz w:val="22"/>
          <w:szCs w:val="22"/>
        </w:rPr>
      </w:pPr>
      <w:r w:rsidRPr="00D35938">
        <w:rPr>
          <w:rFonts w:eastAsia="Calibri" w:cs="Arial"/>
          <w:sz w:val="22"/>
          <w:szCs w:val="22"/>
        </w:rPr>
        <w:t xml:space="preserve">3.2 Additionally variation in collection </w:t>
      </w:r>
      <w:proofErr w:type="gramStart"/>
      <w:r w:rsidRPr="00D35938">
        <w:rPr>
          <w:rFonts w:eastAsia="Calibri" w:cs="Arial"/>
          <w:sz w:val="22"/>
          <w:szCs w:val="22"/>
        </w:rPr>
        <w:t>regimes,</w:t>
      </w:r>
      <w:proofErr w:type="gramEnd"/>
      <w:r w:rsidRPr="00D35938">
        <w:rPr>
          <w:rFonts w:eastAsia="Calibri" w:cs="Arial"/>
          <w:sz w:val="22"/>
          <w:szCs w:val="22"/>
        </w:rPr>
        <w:t xml:space="preserve"> reduced frequency or changed </w:t>
      </w:r>
      <w:proofErr w:type="spellStart"/>
      <w:r w:rsidRPr="00D35938">
        <w:rPr>
          <w:rFonts w:eastAsia="Calibri" w:cs="Arial"/>
          <w:sz w:val="22"/>
          <w:szCs w:val="22"/>
        </w:rPr>
        <w:t>recylate</w:t>
      </w:r>
      <w:proofErr w:type="spellEnd"/>
      <w:r w:rsidRPr="00D35938">
        <w:rPr>
          <w:rFonts w:eastAsia="Calibri" w:cs="Arial"/>
          <w:sz w:val="22"/>
          <w:szCs w:val="22"/>
        </w:rPr>
        <w:t xml:space="preserve"> mixes are unlikely to offer any meaningful cost savings and could meet resident resistance.</w:t>
      </w:r>
    </w:p>
    <w:p w:rsidR="00D35938" w:rsidRPr="00D35938" w:rsidRDefault="00D35938" w:rsidP="00D35938">
      <w:pPr>
        <w:rPr>
          <w:rFonts w:eastAsia="Calibri" w:cs="Arial"/>
          <w:sz w:val="22"/>
          <w:szCs w:val="22"/>
        </w:rPr>
      </w:pPr>
    </w:p>
    <w:p w:rsidR="00D35938" w:rsidRPr="00D35938" w:rsidRDefault="00D35938" w:rsidP="00D35938">
      <w:pPr>
        <w:rPr>
          <w:rFonts w:eastAsia="Calibri" w:cs="Arial"/>
          <w:sz w:val="22"/>
          <w:szCs w:val="22"/>
        </w:rPr>
      </w:pPr>
      <w:r w:rsidRPr="00D35938">
        <w:rPr>
          <w:rFonts w:eastAsia="Calibri" w:cs="Arial"/>
          <w:sz w:val="22"/>
          <w:szCs w:val="22"/>
        </w:rPr>
        <w:t xml:space="preserve">3.3 Proceeding with the WTS inside the ring road will give savings but will also reduce the risk from cost increases currently outside of OCC control.   </w:t>
      </w:r>
    </w:p>
    <w:p w:rsidR="00D35938" w:rsidRPr="00D35938" w:rsidRDefault="00D35938" w:rsidP="00D35938">
      <w:pPr>
        <w:rPr>
          <w:rFonts w:eastAsia="Calibri" w:cs="Arial"/>
          <w:sz w:val="22"/>
          <w:szCs w:val="22"/>
        </w:rPr>
      </w:pPr>
    </w:p>
    <w:p w:rsidR="00D35938" w:rsidRPr="00D35938" w:rsidRDefault="00D35938" w:rsidP="00D35938">
      <w:pPr>
        <w:rPr>
          <w:rFonts w:eastAsia="Calibri" w:cs="Arial"/>
          <w:sz w:val="22"/>
          <w:szCs w:val="22"/>
        </w:rPr>
      </w:pPr>
      <w:r w:rsidRPr="00D35938">
        <w:rPr>
          <w:rFonts w:eastAsia="Calibri" w:cs="Arial"/>
          <w:sz w:val="22"/>
          <w:szCs w:val="22"/>
        </w:rPr>
        <w:t>3.4 Because of the delivery of a great service by a committed and motivated workforce, we have recommended a contract extension by a further 7 years for the in-house team</w:t>
      </w:r>
    </w:p>
    <w:p w:rsidR="008A22C6" w:rsidRPr="00D35938" w:rsidRDefault="008A22C6" w:rsidP="00D35938">
      <w:bookmarkStart w:id="0" w:name="_GoBack"/>
      <w:bookmarkEnd w:id="0"/>
    </w:p>
    <w:sectPr w:rsidR="008A22C6" w:rsidRPr="00D359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B24"/>
    <w:multiLevelType w:val="hybridMultilevel"/>
    <w:tmpl w:val="14B259A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AD4372"/>
    <w:multiLevelType w:val="hybridMultilevel"/>
    <w:tmpl w:val="647E99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F32D56"/>
    <w:multiLevelType w:val="hybridMultilevel"/>
    <w:tmpl w:val="10CCC16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nsid w:val="117A1E5B"/>
    <w:multiLevelType w:val="hybridMultilevel"/>
    <w:tmpl w:val="076E5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48A2F11"/>
    <w:multiLevelType w:val="hybridMultilevel"/>
    <w:tmpl w:val="B0367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73123E"/>
    <w:multiLevelType w:val="hybridMultilevel"/>
    <w:tmpl w:val="F3BE85B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3A5D43B8"/>
    <w:multiLevelType w:val="hybridMultilevel"/>
    <w:tmpl w:val="CB08A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CD6616"/>
    <w:multiLevelType w:val="multilevel"/>
    <w:tmpl w:val="663EDDC0"/>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6"/>
  </w:num>
  <w:num w:numId="3">
    <w:abstractNumId w:val="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8D8"/>
    <w:rsid w:val="000B4310"/>
    <w:rsid w:val="004000D7"/>
    <w:rsid w:val="004840A9"/>
    <w:rsid w:val="004C78D8"/>
    <w:rsid w:val="00504E43"/>
    <w:rsid w:val="007908F4"/>
    <w:rsid w:val="008A22C6"/>
    <w:rsid w:val="00C07F80"/>
    <w:rsid w:val="00D3593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8D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8D8"/>
    <w:rPr>
      <w:rFonts w:ascii="Tahoma" w:hAnsi="Tahoma" w:cs="Tahoma"/>
      <w:sz w:val="16"/>
      <w:szCs w:val="16"/>
    </w:rPr>
  </w:style>
  <w:style w:type="character" w:customStyle="1" w:styleId="BalloonTextChar">
    <w:name w:val="Balloon Text Char"/>
    <w:basedOn w:val="DefaultParagraphFont"/>
    <w:link w:val="BalloonText"/>
    <w:uiPriority w:val="99"/>
    <w:semiHidden/>
    <w:rsid w:val="004C78D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8D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8D8"/>
    <w:rPr>
      <w:rFonts w:ascii="Tahoma" w:hAnsi="Tahoma" w:cs="Tahoma"/>
      <w:sz w:val="16"/>
      <w:szCs w:val="16"/>
    </w:rPr>
  </w:style>
  <w:style w:type="character" w:customStyle="1" w:styleId="BalloonTextChar">
    <w:name w:val="Balloon Text Char"/>
    <w:basedOn w:val="DefaultParagraphFont"/>
    <w:link w:val="BalloonText"/>
    <w:uiPriority w:val="99"/>
    <w:semiHidden/>
    <w:rsid w:val="004C78D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B5231-C6DD-4F2F-9979-B3498D571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abrown2</cp:lastModifiedBy>
  <cp:revision>2</cp:revision>
  <dcterms:created xsi:type="dcterms:W3CDTF">2017-03-28T09:28:00Z</dcterms:created>
  <dcterms:modified xsi:type="dcterms:W3CDTF">2017-03-28T09:28:00Z</dcterms:modified>
</cp:coreProperties>
</file>